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8251"/>
      </w:tblGrid>
      <w:tr w:rsidR="00DA61D5" w:rsidRPr="00DA039B" w14:paraId="109021F0" w14:textId="77777777" w:rsidTr="00B30C20">
        <w:trPr>
          <w:trHeight w:val="510"/>
        </w:trPr>
        <w:tc>
          <w:tcPr>
            <w:tcW w:w="21591" w:type="dxa"/>
            <w:gridSpan w:val="2"/>
            <w:tcBorders>
              <w:top w:val="nil"/>
              <w:left w:val="nil"/>
              <w:bottom w:val="nil"/>
              <w:right w:val="nil"/>
            </w:tcBorders>
            <w:noWrap/>
            <w:vAlign w:val="center"/>
            <w:hideMark/>
          </w:tcPr>
          <w:p w14:paraId="0D1598B5" w14:textId="668404FE" w:rsidR="00DA61D5" w:rsidRPr="00B30C20" w:rsidRDefault="00B30C20" w:rsidP="00CB16E8">
            <w:pPr>
              <w:spacing w:after="0" w:line="240" w:lineRule="auto"/>
              <w:jc w:val="right"/>
              <w:rPr>
                <w:rFonts w:ascii="Times New Roman" w:eastAsia="Times New Roman" w:hAnsi="Times New Roman" w:cs="Times New Roman"/>
                <w:b/>
                <w:bCs/>
                <w:color w:val="FFFFFF"/>
                <w:sz w:val="28"/>
                <w:szCs w:val="28"/>
                <w:lang w:val="it-IT"/>
              </w:rPr>
            </w:pPr>
            <w:r>
              <w:rPr>
                <w:b/>
                <w:bCs/>
                <w:color w:val="0070C0"/>
                <w:lang w:val="it-IT"/>
              </w:rPr>
              <w:t xml:space="preserve">Anexa </w:t>
            </w:r>
            <w:r w:rsidR="00CA7EE2">
              <w:rPr>
                <w:b/>
                <w:bCs/>
                <w:color w:val="0070C0"/>
                <w:lang w:val="it-IT"/>
              </w:rPr>
              <w:t xml:space="preserve">nr. </w:t>
            </w:r>
            <w:r w:rsidR="008F149F">
              <w:rPr>
                <w:b/>
                <w:bCs/>
                <w:color w:val="0070C0"/>
                <w:lang w:val="it-IT"/>
              </w:rPr>
              <w:t>4</w:t>
            </w:r>
            <w:r>
              <w:rPr>
                <w:b/>
                <w:bCs/>
                <w:color w:val="0070C0"/>
                <w:lang w:val="it-IT"/>
              </w:rPr>
              <w:t xml:space="preserve"> </w:t>
            </w:r>
            <w:r w:rsidRPr="00D77199">
              <w:rPr>
                <w:b/>
                <w:bCs/>
                <w:color w:val="0070C0"/>
                <w:lang w:val="it-IT"/>
              </w:rPr>
              <w:t xml:space="preserve">la Ghidul Solicitantului </w:t>
            </w:r>
            <w:r w:rsidR="00C05A6B" w:rsidRPr="00C05A6B">
              <w:rPr>
                <w:b/>
                <w:bCs/>
                <w:color w:val="0070C0"/>
                <w:lang w:val="it-IT"/>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tc>
      </w:tr>
      <w:tr w:rsidR="00B30C20" w:rsidRPr="00CA7EE2" w14:paraId="3B92F019" w14:textId="77777777" w:rsidTr="008138C6">
        <w:trPr>
          <w:trHeight w:val="510"/>
        </w:trPr>
        <w:tc>
          <w:tcPr>
            <w:tcW w:w="21591" w:type="dxa"/>
            <w:gridSpan w:val="2"/>
            <w:tcBorders>
              <w:top w:val="nil"/>
              <w:left w:val="nil"/>
              <w:bottom w:val="nil"/>
              <w:right w:val="nil"/>
            </w:tcBorders>
            <w:shd w:val="clear" w:color="1F497D" w:fill="305496"/>
            <w:noWrap/>
            <w:vAlign w:val="center"/>
          </w:tcPr>
          <w:p w14:paraId="7EDE91F9" w14:textId="37D75D19" w:rsidR="00B30C20"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sidRPr="00B30C20">
              <w:rPr>
                <w:rFonts w:ascii="Times New Roman" w:eastAsia="Times New Roman" w:hAnsi="Times New Roman" w:cs="Times New Roman"/>
                <w:b/>
                <w:bCs/>
                <w:color w:val="FFFFFF"/>
                <w:sz w:val="28"/>
                <w:szCs w:val="28"/>
                <w:lang w:val="it-IT"/>
              </w:rPr>
              <w:t>Listă auto-evaluare privind respectarea principiului „a nu prejudicia în mod semnificativ” (DNSH) obiectivele de mediu</w:t>
            </w:r>
          </w:p>
        </w:tc>
      </w:tr>
      <w:tr w:rsidR="00DA61D5" w:rsidRPr="00DA61D5"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Program: </w:t>
            </w:r>
          </w:p>
        </w:tc>
        <w:tc>
          <w:tcPr>
            <w:tcW w:w="18251" w:type="dxa"/>
            <w:tcBorders>
              <w:top w:val="nil"/>
              <w:left w:val="nil"/>
              <w:bottom w:val="single" w:sz="4" w:space="0" w:color="000000"/>
              <w:right w:val="nil"/>
            </w:tcBorders>
            <w:shd w:val="clear" w:color="70AD47" w:fill="C6E0B4"/>
            <w:noWrap/>
            <w:vAlign w:val="center"/>
            <w:hideMark/>
          </w:tcPr>
          <w:p w14:paraId="3C94421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Tranziție Justă</w:t>
            </w:r>
          </w:p>
        </w:tc>
      </w:tr>
      <w:tr w:rsidR="00DA61D5" w:rsidRPr="00CA7EE2"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Prioritatea: </w:t>
            </w:r>
          </w:p>
        </w:tc>
        <w:tc>
          <w:tcPr>
            <w:tcW w:w="18251" w:type="dxa"/>
            <w:tcBorders>
              <w:top w:val="single" w:sz="4" w:space="0" w:color="000000"/>
              <w:left w:val="nil"/>
              <w:bottom w:val="single" w:sz="4" w:space="0" w:color="000000"/>
              <w:right w:val="nil"/>
            </w:tcBorders>
            <w:shd w:val="clear" w:color="70AD47" w:fill="C6E0B4"/>
            <w:noWrap/>
            <w:vAlign w:val="center"/>
            <w:hideMark/>
          </w:tcPr>
          <w:p w14:paraId="4918DF47" w14:textId="190EF339" w:rsidR="00DA61D5" w:rsidRPr="00B30C20" w:rsidRDefault="00C05A6B" w:rsidP="008138C6">
            <w:pPr>
              <w:spacing w:after="0" w:line="240" w:lineRule="auto"/>
              <w:rPr>
                <w:rFonts w:ascii="Times New Roman" w:eastAsia="Times New Roman" w:hAnsi="Times New Roman" w:cs="Times New Roman"/>
                <w:color w:val="000000"/>
                <w:sz w:val="24"/>
                <w:szCs w:val="24"/>
                <w:lang w:val="it-IT"/>
              </w:rPr>
            </w:pPr>
            <w:r w:rsidRPr="00C05A6B">
              <w:rPr>
                <w:rFonts w:ascii="Times New Roman" w:eastAsia="Times New Roman" w:hAnsi="Times New Roman" w:cs="Times New Roman"/>
                <w:color w:val="000000"/>
                <w:sz w:val="24"/>
                <w:szCs w:val="24"/>
                <w:lang w:val="it-IT"/>
              </w:rPr>
              <w:t>Sprijin pentru modernizarea și consolidarea instituțiilor și serviciilor pieței forței de muncă</w:t>
            </w:r>
          </w:p>
        </w:tc>
      </w:tr>
      <w:tr w:rsidR="00DA61D5" w:rsidRPr="00DA61D5"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Obiectiv specific: </w:t>
            </w:r>
          </w:p>
        </w:tc>
        <w:tc>
          <w:tcPr>
            <w:tcW w:w="18251" w:type="dxa"/>
            <w:tcBorders>
              <w:top w:val="single" w:sz="4" w:space="0" w:color="000000"/>
              <w:left w:val="nil"/>
              <w:bottom w:val="single" w:sz="4" w:space="0" w:color="000000"/>
              <w:right w:val="nil"/>
            </w:tcBorders>
            <w:shd w:val="clear" w:color="70AD47" w:fill="C6E0B4"/>
            <w:vAlign w:val="center"/>
            <w:hideMark/>
          </w:tcPr>
          <w:p w14:paraId="32D9032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CA7EE2"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Apel: </w:t>
            </w:r>
          </w:p>
        </w:tc>
        <w:tc>
          <w:tcPr>
            <w:tcW w:w="18251" w:type="dxa"/>
            <w:tcBorders>
              <w:top w:val="single" w:sz="4" w:space="0" w:color="000000"/>
              <w:left w:val="nil"/>
              <w:bottom w:val="single" w:sz="4" w:space="0" w:color="000000"/>
              <w:right w:val="nil"/>
            </w:tcBorders>
            <w:shd w:val="clear" w:color="70AD47" w:fill="C6E0B4"/>
            <w:vAlign w:val="center"/>
            <w:hideMark/>
          </w:tcPr>
          <w:p w14:paraId="181965EB" w14:textId="5822DCDB" w:rsidR="00DA61D5" w:rsidRPr="00DB66F0" w:rsidRDefault="00C05A6B" w:rsidP="008138C6">
            <w:pPr>
              <w:spacing w:after="0" w:line="240" w:lineRule="auto"/>
              <w:rPr>
                <w:rFonts w:ascii="Times New Roman" w:eastAsia="Times New Roman" w:hAnsi="Times New Roman" w:cs="Times New Roman"/>
                <w:b/>
                <w:bCs/>
                <w:color w:val="000000"/>
                <w:sz w:val="24"/>
                <w:szCs w:val="24"/>
                <w:lang w:val="it-IT"/>
              </w:rPr>
            </w:pPr>
            <w:r w:rsidRPr="00DB66F0">
              <w:rPr>
                <w:rFonts w:ascii="Times New Roman" w:eastAsia="Times New Roman" w:hAnsi="Times New Roman" w:cs="Times New Roman"/>
                <w:b/>
                <w:bCs/>
                <w:color w:val="000000"/>
                <w:sz w:val="24"/>
                <w:szCs w:val="24"/>
                <w:lang w:val="it-IT"/>
              </w:rPr>
              <w:t>Sprijin pentru modernizarea și consolidarea instituțiilor și serviciilor pieței forței de muncă – Formare profesională – furnizori acreditați</w:t>
            </w:r>
          </w:p>
        </w:tc>
      </w:tr>
      <w:tr w:rsidR="00DA61D5" w:rsidRPr="00CA7EE2" w14:paraId="24EF5706"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22D1F777"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Obiectiv apel finanțare:</w:t>
            </w:r>
          </w:p>
        </w:tc>
        <w:tc>
          <w:tcPr>
            <w:tcW w:w="18251" w:type="dxa"/>
            <w:tcBorders>
              <w:top w:val="single" w:sz="4" w:space="0" w:color="000000"/>
              <w:left w:val="nil"/>
              <w:bottom w:val="single" w:sz="4" w:space="0" w:color="000000"/>
              <w:right w:val="nil"/>
            </w:tcBorders>
            <w:shd w:val="clear" w:color="70AD47" w:fill="C6E0B4"/>
            <w:vAlign w:val="center"/>
            <w:hideMark/>
          </w:tcPr>
          <w:p w14:paraId="6C0F6054" w14:textId="4D48B054" w:rsidR="00DA61D5" w:rsidRPr="00B30C20" w:rsidRDefault="00C05A6B" w:rsidP="008138C6">
            <w:pPr>
              <w:spacing w:after="0" w:line="240" w:lineRule="auto"/>
              <w:rPr>
                <w:rFonts w:ascii="Times New Roman" w:eastAsia="Times New Roman" w:hAnsi="Times New Roman" w:cs="Times New Roman"/>
                <w:b/>
                <w:bCs/>
                <w:color w:val="000000"/>
                <w:sz w:val="24"/>
                <w:szCs w:val="24"/>
                <w:lang w:val="it-IT"/>
              </w:rPr>
            </w:pPr>
            <w:r>
              <w:rPr>
                <w:rFonts w:ascii="Times New Roman" w:eastAsia="Times New Roman" w:hAnsi="Times New Roman" w:cs="Times New Roman"/>
                <w:b/>
                <w:bCs/>
                <w:color w:val="000000"/>
                <w:sz w:val="24"/>
                <w:szCs w:val="24"/>
                <w:lang w:val="it-IT"/>
              </w:rPr>
              <w:t>I</w:t>
            </w:r>
            <w:r w:rsidRPr="00C05A6B">
              <w:rPr>
                <w:rFonts w:ascii="Times New Roman" w:eastAsia="Times New Roman" w:hAnsi="Times New Roman" w:cs="Times New Roman"/>
                <w:b/>
                <w:bCs/>
                <w:color w:val="000000"/>
                <w:sz w:val="24"/>
                <w:szCs w:val="24"/>
                <w:lang w:val="it-IT"/>
              </w:rPr>
              <w:t>nvestițiile pentru activități de furnizare de servicii specializate, pentru participarea la programe de FPC și certificare a competențelor profesionale obținute pe alte căi decât cele formale a persoane dezavantajate în piața muncii</w:t>
            </w:r>
          </w:p>
        </w:tc>
      </w:tr>
      <w:tr w:rsidR="00F41EE4" w:rsidRPr="00CA7EE2" w14:paraId="1450F808" w14:textId="77777777" w:rsidTr="004F4240">
        <w:trPr>
          <w:trHeight w:val="375"/>
        </w:trPr>
        <w:tc>
          <w:tcPr>
            <w:tcW w:w="21591" w:type="dxa"/>
            <w:gridSpan w:val="2"/>
            <w:tcBorders>
              <w:top w:val="nil"/>
              <w:left w:val="nil"/>
              <w:bottom w:val="nil"/>
              <w:right w:val="nil"/>
            </w:tcBorders>
            <w:shd w:val="clear" w:color="70AD47" w:fill="FFFFFF"/>
            <w:noWrap/>
            <w:vAlign w:val="center"/>
            <w:hideMark/>
          </w:tcPr>
          <w:p w14:paraId="27EA0D65" w14:textId="77777777"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757E9EAA" w14:textId="77777777" w:rsidR="00D96A90" w:rsidRPr="00C56393" w:rsidRDefault="00F41EE4" w:rsidP="00D96A90">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r w:rsidR="00D96A90" w:rsidRPr="00C56393">
              <w:rPr>
                <w:rFonts w:ascii="Times New Roman" w:eastAsia="Times New Roman" w:hAnsi="Times New Roman" w:cs="Times New Roman"/>
                <w:b/>
                <w:bCs/>
                <w:color w:val="000000"/>
                <w:sz w:val="24"/>
                <w:szCs w:val="24"/>
                <w:lang w:val="it-IT"/>
              </w:rPr>
              <w:t>A se completa de către solicitant conform specificului proiectului:</w:t>
            </w:r>
          </w:p>
          <w:p w14:paraId="1599C43D" w14:textId="77777777" w:rsidR="00D96A90" w:rsidRPr="00C56393" w:rsidRDefault="00D96A90" w:rsidP="00D96A90">
            <w:pPr>
              <w:spacing w:after="0" w:line="240" w:lineRule="auto"/>
              <w:rPr>
                <w:rFonts w:ascii="Times New Roman" w:eastAsia="Times New Roman" w:hAnsi="Times New Roman" w:cs="Times New Roman"/>
                <w:b/>
                <w:bCs/>
                <w:color w:val="000000"/>
                <w:sz w:val="24"/>
                <w:szCs w:val="24"/>
                <w:lang w:val="it-IT"/>
              </w:rPr>
            </w:pPr>
          </w:p>
          <w:p w14:paraId="470A21F7" w14:textId="77777777" w:rsidR="00D96A90" w:rsidRPr="00C56393" w:rsidRDefault="00D96A90" w:rsidP="00D96A90">
            <w:pPr>
              <w:spacing w:after="0" w:line="240" w:lineRule="auto"/>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DESCRIEREA PE SCURT A PROIECTULUI</w:t>
            </w:r>
          </w:p>
          <w:p w14:paraId="008DE5B3" w14:textId="77777777" w:rsidR="00D96A90" w:rsidRPr="00C56393" w:rsidRDefault="00D96A90" w:rsidP="00D96A90">
            <w:pPr>
              <w:spacing w:after="0" w:line="240" w:lineRule="auto"/>
              <w:rPr>
                <w:rFonts w:ascii="Times New Roman" w:eastAsia="Times New Roman" w:hAnsi="Times New Roman" w:cs="Times New Roman"/>
                <w:b/>
                <w:bCs/>
                <w:color w:val="000000"/>
                <w:sz w:val="24"/>
                <w:szCs w:val="24"/>
                <w:lang w:val="it-IT"/>
              </w:rPr>
            </w:pPr>
          </w:p>
          <w:p w14:paraId="5D7D5D7A" w14:textId="3A6D8C29"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i/>
                <w:iCs/>
                <w:color w:val="5B9BD5" w:themeColor="accent1"/>
                <w:sz w:val="24"/>
                <w:szCs w:val="24"/>
                <w:lang w:val="it-IT"/>
              </w:rPr>
              <w:t>Se va realiza o descriere pe scurt a proiectului și activităților acestuia conform structurii de mai jos.</w:t>
            </w:r>
          </w:p>
          <w:p w14:paraId="07CF838F" w14:textId="77777777"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p>
          <w:p w14:paraId="6524CACC" w14:textId="2D7808E8"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xml:space="preserve"> ELEMENTE GENERALE</w:t>
            </w:r>
          </w:p>
          <w:p w14:paraId="5562ABA8" w14:textId="77777777"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p>
          <w:p w14:paraId="242DDB8D" w14:textId="56BB291B" w:rsidR="00D96A90" w:rsidRPr="00C56393" w:rsidRDefault="00D96A90" w:rsidP="00D96A90">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xml:space="preserve">În cadrul proiectelor din cadul apelului se are în vedere oferirea de servicii de training pentru persoanele direct afectate de procesul de tranziție prin pierderea locului de muncă sau indirect afectate de tranziție din cauza competențelor neadecvate sau insuficient adecvate cererii. De asemenea, </w:t>
            </w:r>
            <w:r w:rsidR="00626A1E" w:rsidRPr="00C56393">
              <w:rPr>
                <w:rFonts w:ascii="Times New Roman" w:eastAsia="Times New Roman" w:hAnsi="Times New Roman" w:cs="Times New Roman"/>
                <w:color w:val="000000"/>
                <w:sz w:val="24"/>
                <w:szCs w:val="24"/>
                <w:lang w:val="it-IT"/>
              </w:rPr>
              <w:t xml:space="preserve">se </w:t>
            </w:r>
            <w:r w:rsidRPr="00C56393">
              <w:rPr>
                <w:rFonts w:ascii="Times New Roman" w:eastAsia="Times New Roman" w:hAnsi="Times New Roman" w:cs="Times New Roman"/>
                <w:color w:val="000000"/>
                <w:sz w:val="24"/>
                <w:szCs w:val="24"/>
                <w:lang w:val="it-IT"/>
              </w:rPr>
              <w:t>are în vedere și actualizarea competențelor și / sau recalificarea lucrătorilor ocupați în sectoarele / industriile afectate de tranziție, precum și în cele cu potențial ridicat de generare de locuri de muncă durabile, inclusiv acordarea de servicii de asistență și măsuri active de ocupare pentru acestea.</w:t>
            </w:r>
          </w:p>
          <w:p w14:paraId="68C0AE00" w14:textId="77777777" w:rsidR="00626A1E" w:rsidRPr="00C56393" w:rsidRDefault="00626A1E" w:rsidP="00D96A90">
            <w:pPr>
              <w:spacing w:after="0" w:line="240" w:lineRule="auto"/>
              <w:rPr>
                <w:rFonts w:ascii="Times New Roman" w:eastAsia="Times New Roman" w:hAnsi="Times New Roman" w:cs="Times New Roman"/>
                <w:color w:val="000000"/>
                <w:sz w:val="24"/>
                <w:szCs w:val="24"/>
                <w:lang w:val="it-IT"/>
              </w:rPr>
            </w:pPr>
          </w:p>
          <w:p w14:paraId="5FCBC4B6" w14:textId="16FA8786" w:rsidR="00D96A90" w:rsidRPr="00C56393" w:rsidRDefault="00D96A90" w:rsidP="00D96A90">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Acțiunile aferente proiectului din cadrul apelurilor de proiecte pot fi :</w:t>
            </w:r>
          </w:p>
          <w:p w14:paraId="4E717864" w14:textId="77777777" w:rsidR="00D96A90" w:rsidRPr="00C56393" w:rsidRDefault="00D96A90" w:rsidP="00D96A90">
            <w:pPr>
              <w:spacing w:after="0" w:line="240" w:lineRule="auto"/>
              <w:rPr>
                <w:rFonts w:ascii="Times New Roman" w:eastAsia="Times New Roman" w:hAnsi="Times New Roman" w:cs="Times New Roman"/>
                <w:b/>
                <w:bCs/>
                <w:color w:val="000000"/>
                <w:sz w:val="24"/>
                <w:szCs w:val="24"/>
                <w:lang w:val="it-IT"/>
              </w:rPr>
            </w:pPr>
          </w:p>
          <w:p w14:paraId="3188D2D5" w14:textId="13FAA982" w:rsidR="00D96A90" w:rsidRPr="00C56393" w:rsidRDefault="00D96A90" w:rsidP="00D96A90">
            <w:pPr>
              <w:pStyle w:val="ListParagraph"/>
              <w:numPr>
                <w:ilvl w:val="0"/>
                <w:numId w:val="3"/>
              </w:num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Analiza pieței muncii la nivel regional, prin cercetare, documentare și evaluarea nevoilor angajatorilor și ale grupului țintă.</w:t>
            </w:r>
          </w:p>
          <w:p w14:paraId="690D1117" w14:textId="1157738B" w:rsidR="00D96A90" w:rsidRPr="00C56393" w:rsidRDefault="00D96A90" w:rsidP="00D96A90">
            <w:pPr>
              <w:pStyle w:val="ListParagraph"/>
              <w:numPr>
                <w:ilvl w:val="0"/>
                <w:numId w:val="3"/>
              </w:num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Furnizarea de servicii specializate pentru ocupare, precum consiliere profesională, mediere, acompaniere socio-profesională, sprijin integrat pentru participarea la formare profesională, inclusiv consiliere, tutorat, sprijin logistic și financiar, acces la echipamente, adaptarea programelor și mentorat post-formare.</w:t>
            </w:r>
          </w:p>
          <w:p w14:paraId="355585C9" w14:textId="6D955A1F" w:rsidR="00D96A90" w:rsidRPr="00C56393" w:rsidRDefault="00D96A90" w:rsidP="00D96A90">
            <w:pPr>
              <w:pStyle w:val="ListParagraph"/>
              <w:numPr>
                <w:ilvl w:val="0"/>
                <w:numId w:val="3"/>
              </w:num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Organizarea de programe de formare profesională pentru adulți (inițiere, calificare, recalificare, perfecționare, specializare), acreditate sau neacreditate.</w:t>
            </w:r>
          </w:p>
          <w:p w14:paraId="7D215C94" w14:textId="031CFD96" w:rsidR="00D96A90" w:rsidRPr="00C56393" w:rsidRDefault="00D96A90" w:rsidP="00D96A90">
            <w:pPr>
              <w:pStyle w:val="ListParagraph"/>
              <w:numPr>
                <w:ilvl w:val="0"/>
                <w:numId w:val="3"/>
              </w:num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Evaluarea și certificarea competențelor dobândite în contexte non-formale și informale, conform reglementărilor în vigoare.</w:t>
            </w:r>
          </w:p>
          <w:p w14:paraId="06AE9D30" w14:textId="77777777" w:rsidR="00D96A90" w:rsidRPr="00C56393" w:rsidRDefault="00D96A90" w:rsidP="008138C6">
            <w:pPr>
              <w:spacing w:after="0" w:line="240" w:lineRule="auto"/>
              <w:rPr>
                <w:rFonts w:ascii="Times New Roman" w:eastAsia="Times New Roman" w:hAnsi="Times New Roman" w:cs="Times New Roman"/>
                <w:b/>
                <w:bCs/>
                <w:color w:val="000000"/>
                <w:sz w:val="24"/>
                <w:szCs w:val="24"/>
                <w:lang w:val="it-IT"/>
              </w:rPr>
            </w:pPr>
          </w:p>
          <w:p w14:paraId="308C03F5" w14:textId="1D4C5484" w:rsidR="00D96A90" w:rsidRPr="00C56393" w:rsidRDefault="00D96A90" w:rsidP="008138C6">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ELEMENTE SPECIFICE</w:t>
            </w:r>
          </w:p>
          <w:p w14:paraId="0ACBD668" w14:textId="77777777" w:rsidR="00626A1E" w:rsidRPr="00C56393" w:rsidRDefault="00626A1E" w:rsidP="008138C6">
            <w:pPr>
              <w:spacing w:after="0" w:line="240" w:lineRule="auto"/>
              <w:rPr>
                <w:rFonts w:ascii="Times New Roman" w:eastAsia="Times New Roman" w:hAnsi="Times New Roman" w:cs="Times New Roman"/>
                <w:b/>
                <w:bCs/>
                <w:color w:val="000000"/>
                <w:sz w:val="24"/>
                <w:szCs w:val="24"/>
                <w:lang w:val="it-IT"/>
              </w:rPr>
            </w:pPr>
          </w:p>
          <w:p w14:paraId="260B5DDA" w14:textId="0CE2E1EF"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Activități eligibile ale proiectului , conform Ghidului solicitantului, pot fi:</w:t>
            </w:r>
          </w:p>
          <w:p w14:paraId="27ED8271" w14:textId="6764EE00"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Activități de cercetare și fundamentare a caracteristicilor pieței muncii în regiunea vizată de proiect, a efectelor tranziției pe piața muncii din respectivele regiuni, de identificare a profilelor, abilităților și intereselor grupului țintă vizat, de identificare a nevoilor de resurse umane a angajatorilor din regiunea unde se derulează proiectul - activitate de bază</w:t>
            </w:r>
          </w:p>
          <w:p w14:paraId="5DB1F135" w14:textId="49ADECF9"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Analiza pieței muncii la nivel regional prin cercetare, documentare și evaluarea nevoilor angajatorilor  și ale grupului țintă- activitate de bază</w:t>
            </w:r>
          </w:p>
          <w:p w14:paraId="0E7F5506" w14:textId="45FE24C3"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Activități de furnizare de servicii specializate pentru creşterea şanselor de ocupare a persoanelor aflate în căutarea unui loc de muncă  și a persoanelor active în industrii afectate de tranziția energetică: informare și consiliere profesională, servicii de mediere a muncii pe piaţa internă (sprijin în integrarea pe piața muncii, legătura cu angajatori și servicii de ocupare precum și evaluarea impactului formării asupra parcursului profesional), servicii de acompaniere socio-profesională pentru persoanele aflate în căutarea unui loc de muncă cu dificultăți de ocupare, identificați în urma unei cercetări proprii realizate de aplicant,  precum și pentru tinerii cu risc de marginalizare socială ; - activitate de bază;</w:t>
            </w:r>
          </w:p>
          <w:p w14:paraId="45ED87B1" w14:textId="27230AF0"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Furnizarea de servicii specializate pentru ocupare, precum consiliere profesională, mediere, acompaniere socio-profesională și intervenții de tip upskilling (dezvoltarea și perfecționarea competențelor existente ale unei persoane pentru a răspunde mai bine cerințelor actuale ale locului de muncă).</w:t>
            </w:r>
          </w:p>
          <w:p w14:paraId="447B7A33" w14:textId="4986A749"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xml:space="preserve">• Activități de sprijin pentru participarea la programele de FP (formare profesională) prin măsuri integrate și flexibile: informare și consiliere profesională, tutorat, sprijin logistic și financiar (decontarea transportului, mesei sau cazării, subvenții sau stimulente pentru participare, servicii precum programe destinate copiilor sau dependenților/însoțitorilor în vederea asigurării premiselor de participare a femeilor și îngrijitorilor la activitățile de </w:t>
            </w:r>
            <w:r w:rsidRPr="00C56393">
              <w:rPr>
                <w:rFonts w:ascii="Times New Roman" w:eastAsia="Times New Roman" w:hAnsi="Times New Roman" w:cs="Times New Roman"/>
                <w:color w:val="000000"/>
                <w:sz w:val="24"/>
                <w:szCs w:val="24"/>
                <w:lang w:val="it-IT"/>
              </w:rPr>
              <w:lastRenderedPageBreak/>
              <w:t>formare (unde este cazul),  acces la echipamente și materiale didactice, inclusiv laboratoare mobile, adaptarea programelor de formare (orar flexibil, on-line sau cu prezență fizică, personalizarea modulelor), evaluare și certificare a competențelor (recunoașterea competențelor dobândite informal), monitorizare și mentorat post-formare -  activitate de bază;</w:t>
            </w:r>
          </w:p>
          <w:p w14:paraId="500BDBC1" w14:textId="360FEF7E"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Activități de furnizare de programe profesionale: organizarea și derularea de programe de formare profesională a adulților prin cursuri de inițiere, calificare, recalificare, perfecționare sau specializare, acreditate sau neacreditate - activitate de bază;</w:t>
            </w:r>
          </w:p>
          <w:p w14:paraId="71FA6429" w14:textId="77777777"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Activități de evaluarea și certificare a competențelor profesionale obținute pe alte căi decât cele formale, respectiv non-formale și/sau informale (Ordinul ministrului educației și cercetării și al ministrului muncii, solidarității sociale și familiei nr. 4543/2004, actualizat); - activitate de bază;</w:t>
            </w:r>
          </w:p>
          <w:p w14:paraId="46C69176" w14:textId="32F867FC" w:rsidR="00626A1E" w:rsidRPr="00C56393" w:rsidRDefault="00626A1E" w:rsidP="00626A1E">
            <w:pPr>
              <w:spacing w:after="0" w:line="240" w:lineRule="auto"/>
              <w:rPr>
                <w:rFonts w:ascii="Times New Roman" w:eastAsia="Times New Roman" w:hAnsi="Times New Roman" w:cs="Times New Roman"/>
                <w:color w:val="000000"/>
                <w:sz w:val="24"/>
                <w:szCs w:val="24"/>
                <w:lang w:val="it-IT"/>
              </w:rPr>
            </w:pPr>
            <w:r w:rsidRPr="00C56393">
              <w:rPr>
                <w:rFonts w:ascii="Times New Roman" w:eastAsia="Times New Roman" w:hAnsi="Times New Roman" w:cs="Times New Roman"/>
                <w:color w:val="000000"/>
                <w:sz w:val="24"/>
                <w:szCs w:val="24"/>
                <w:lang w:val="it-IT"/>
              </w:rPr>
              <w:t>• Furnizarea de servicii de acompaniere socio-profesională, alături de cele de ocupare, pentru categorii de persoane dezavantajate în piața muncii, inclusiv pentru tinerii NEETs (evaluarea profilului profesional și identificarea nevoilor individuale, consiliere vocațională și orientare în carieră, sprijin pentru redactarea CV-ului, pregătirea pentru interviuri și accesarea platformelor de joburi, mediere pe piața muncii, inclusiv conectarea cu angajatori locali, monitorizare post-angajare pentru a asigura stabilitatea locului de muncă). Servicii de sprijin în găsirea unui loc de munca/ mediere/ integrare pe piața muncii.</w:t>
            </w:r>
          </w:p>
          <w:p w14:paraId="571F3587" w14:textId="77777777" w:rsidR="00626A1E" w:rsidRPr="00C56393" w:rsidRDefault="00626A1E" w:rsidP="008138C6">
            <w:pPr>
              <w:spacing w:after="0" w:line="240" w:lineRule="auto"/>
              <w:rPr>
                <w:rFonts w:ascii="Times New Roman" w:eastAsia="Times New Roman" w:hAnsi="Times New Roman" w:cs="Times New Roman"/>
                <w:b/>
                <w:bCs/>
                <w:color w:val="000000"/>
                <w:sz w:val="24"/>
                <w:szCs w:val="24"/>
                <w:lang w:val="it-IT"/>
              </w:rPr>
            </w:pPr>
          </w:p>
          <w:p w14:paraId="6D05AF76" w14:textId="759F8D40" w:rsidR="00F41EE4" w:rsidRPr="00C56393" w:rsidRDefault="00F41EE4" w:rsidP="00F41EE4">
            <w:pPr>
              <w:pStyle w:val="Heading1"/>
              <w:shd w:val="clear" w:color="auto" w:fill="FFFFFF"/>
              <w:spacing w:before="0" w:beforeAutospacing="0" w:line="360" w:lineRule="atLeast"/>
              <w:rPr>
                <w:b w:val="0"/>
                <w:bCs w:val="0"/>
                <w:i/>
                <w:iCs/>
                <w:color w:val="5B9BD5" w:themeColor="accent1"/>
                <w:sz w:val="24"/>
                <w:szCs w:val="24"/>
                <w:lang w:val="it-IT"/>
              </w:rPr>
            </w:pPr>
            <w:r w:rsidRPr="00C56393">
              <w:rPr>
                <w:b w:val="0"/>
                <w:bCs w:val="0"/>
                <w:i/>
                <w:iCs/>
                <w:color w:val="5B9BD5" w:themeColor="accent1"/>
                <w:sz w:val="24"/>
                <w:szCs w:val="24"/>
                <w:lang w:val="it-IT"/>
              </w:rPr>
              <w:t xml:space="preserve">A se vedea Anexa </w:t>
            </w:r>
            <w:r w:rsidR="006A1EDE" w:rsidRPr="00C56393">
              <w:rPr>
                <w:b w:val="0"/>
                <w:bCs w:val="0"/>
                <w:i/>
                <w:iCs/>
                <w:color w:val="5B9BD5" w:themeColor="accent1"/>
                <w:sz w:val="24"/>
                <w:szCs w:val="24"/>
                <w:lang w:val="it-IT"/>
              </w:rPr>
              <w:t>5</w:t>
            </w:r>
            <w:r w:rsidRPr="00C56393">
              <w:rPr>
                <w:b w:val="0"/>
                <w:bCs w:val="0"/>
                <w:i/>
                <w:iCs/>
                <w:color w:val="5B9BD5" w:themeColor="accent1"/>
                <w:sz w:val="24"/>
                <w:szCs w:val="24"/>
                <w:lang w:val="it-IT"/>
              </w:rPr>
              <w:t xml:space="preserve"> la prezentul ghid cu privire la elementele de analiză DNSH de la nivelul acțiunii asociate </w:t>
            </w:r>
            <w:r w:rsidR="00C05A6B" w:rsidRPr="00C56393">
              <w:rPr>
                <w:b w:val="0"/>
                <w:bCs w:val="0"/>
                <w:i/>
                <w:iCs/>
                <w:color w:val="5B9BD5" w:themeColor="accent1"/>
                <w:sz w:val="24"/>
                <w:szCs w:val="24"/>
                <w:lang w:val="it-IT"/>
              </w:rPr>
              <w:t xml:space="preserve">pentru modernizarea și consolidarea instituțiilor și serviciilor pieței forței de muncă – Formare profesională – furnizori acreditați, </w:t>
            </w:r>
            <w:r w:rsidR="00D869EC" w:rsidRPr="00C56393">
              <w:rPr>
                <w:b w:val="0"/>
                <w:bCs w:val="0"/>
                <w:i/>
                <w:iCs/>
                <w:color w:val="5B9BD5" w:themeColor="accent1"/>
                <w:sz w:val="24"/>
                <w:szCs w:val="24"/>
                <w:lang w:val="it-IT"/>
              </w:rPr>
              <w:t xml:space="preserve"> </w:t>
            </w:r>
            <w:r w:rsidRPr="00C56393">
              <w:rPr>
                <w:b w:val="0"/>
                <w:bCs w:val="0"/>
                <w:i/>
                <w:iCs/>
                <w:color w:val="5B9BD5" w:themeColor="accent1"/>
                <w:sz w:val="24"/>
                <w:szCs w:val="24"/>
                <w:lang w:val="it-IT"/>
              </w:rPr>
              <w:t xml:space="preserve">pentru integrarea elementelor aplicabile în cadrul autoanalizei la nivelul proiectului. </w:t>
            </w:r>
          </w:p>
          <w:p w14:paraId="4EBEE4C8" w14:textId="7EB2AF48" w:rsidR="00F41EE4" w:rsidRPr="00C56393" w:rsidRDefault="00F41EE4" w:rsidP="008138C6">
            <w:pPr>
              <w:spacing w:after="0" w:line="240" w:lineRule="auto"/>
              <w:rPr>
                <w:rFonts w:ascii="Times New Roman" w:eastAsia="Times New Roman" w:hAnsi="Times New Roman" w:cs="Times New Roman"/>
                <w:b/>
                <w:bCs/>
                <w:color w:val="000000"/>
                <w:sz w:val="24"/>
                <w:szCs w:val="24"/>
                <w:lang w:val="it-IT"/>
              </w:rPr>
            </w:pPr>
          </w:p>
          <w:p w14:paraId="569A2510" w14:textId="2A4CB1AB" w:rsidR="00C56393" w:rsidRPr="009C5BF9" w:rsidRDefault="00F41EE4" w:rsidP="008138C6">
            <w:pPr>
              <w:spacing w:after="0" w:line="240" w:lineRule="auto"/>
              <w:rPr>
                <w:rFonts w:ascii="Times New Roman" w:eastAsia="Times New Roman" w:hAnsi="Times New Roman" w:cs="Times New Roman"/>
                <w:i/>
                <w:iCs/>
                <w:color w:val="000000"/>
                <w:sz w:val="24"/>
                <w:szCs w:val="24"/>
                <w:lang w:val="it-IT"/>
              </w:rPr>
            </w:pPr>
            <w:r w:rsidRPr="00C56393">
              <w:rPr>
                <w:rFonts w:ascii="Times New Roman" w:eastAsia="Times New Roman" w:hAnsi="Times New Roman" w:cs="Times New Roman"/>
                <w:b/>
                <w:bCs/>
                <w:color w:val="000000"/>
                <w:sz w:val="24"/>
                <w:szCs w:val="24"/>
                <w:lang w:val="it-IT"/>
              </w:rPr>
              <w:t> </w:t>
            </w:r>
            <w:r w:rsidR="009C5BF9" w:rsidRPr="009C5BF9">
              <w:rPr>
                <w:rFonts w:ascii="Times New Roman" w:eastAsia="Times New Roman" w:hAnsi="Times New Roman" w:cs="Times New Roman"/>
                <w:i/>
                <w:iCs/>
                <w:color w:val="000000"/>
                <w:sz w:val="24"/>
                <w:szCs w:val="24"/>
                <w:lang w:val="it-IT"/>
              </w:rPr>
              <w:t>Partea 1- Filtrarea celor 6 obiective de mediu pentru a le identifica pe cele care necesită o evaluare de fond</w:t>
            </w:r>
          </w:p>
          <w:p w14:paraId="0A91F508" w14:textId="77777777" w:rsidR="009C5BF9" w:rsidRPr="00C56393" w:rsidRDefault="009C5BF9" w:rsidP="008138C6">
            <w:pPr>
              <w:spacing w:after="0" w:line="240" w:lineRule="auto"/>
              <w:rPr>
                <w:rFonts w:ascii="Times New Roman" w:eastAsia="Times New Roman" w:hAnsi="Times New Roman" w:cs="Times New Roman"/>
                <w:b/>
                <w:bCs/>
                <w:color w:val="000000"/>
                <w:sz w:val="24"/>
                <w:szCs w:val="24"/>
                <w:lang w:val="it-IT"/>
              </w:rPr>
            </w:pPr>
          </w:p>
          <w:tbl>
            <w:tblPr>
              <w:tblStyle w:val="TableGrid"/>
              <w:tblW w:w="0" w:type="auto"/>
              <w:tblLook w:val="04A0" w:firstRow="1" w:lastRow="0" w:firstColumn="1" w:lastColumn="0" w:noHBand="0" w:noVBand="1"/>
            </w:tblPr>
            <w:tblGrid>
              <w:gridCol w:w="5341"/>
              <w:gridCol w:w="645"/>
              <w:gridCol w:w="567"/>
              <w:gridCol w:w="14812"/>
            </w:tblGrid>
            <w:tr w:rsidR="00C56393" w14:paraId="6B260B55" w14:textId="77777777" w:rsidTr="00C56393">
              <w:tc>
                <w:tcPr>
                  <w:tcW w:w="5341" w:type="dxa"/>
                  <w:shd w:val="clear" w:color="auto" w:fill="E7E6E6" w:themeFill="background2"/>
                </w:tcPr>
                <w:p w14:paraId="7CBAA43E" w14:textId="7F40CEA5" w:rsidR="00C56393" w:rsidRPr="00C56393" w:rsidRDefault="00C56393" w:rsidP="00C56393">
                  <w:r w:rsidRPr="00C56393">
                    <w:rPr>
                      <w:rFonts w:ascii="Times New Roman" w:eastAsia="Times New Roman" w:hAnsi="Times New Roman" w:cs="Times New Roman"/>
                      <w:b/>
                      <w:bCs/>
                      <w:color w:val="000000"/>
                      <w:sz w:val="24"/>
                      <w:szCs w:val="24"/>
                      <w:lang w:val="it-IT"/>
                    </w:rPr>
                    <w:t>Vă rugăm să indicați care dintre obiectivele de mediu de mai jos necesită o evaluare aprofundată DNSH</w:t>
                  </w:r>
                </w:p>
              </w:tc>
              <w:tc>
                <w:tcPr>
                  <w:tcW w:w="645" w:type="dxa"/>
                  <w:shd w:val="clear" w:color="auto" w:fill="E7E6E6" w:themeFill="background2"/>
                </w:tcPr>
                <w:p w14:paraId="1F3BE6E5" w14:textId="2C445814" w:rsidR="00C56393" w:rsidRPr="00C56393" w:rsidRDefault="00C56393" w:rsidP="00C56393">
                  <w:pPr>
                    <w:rPr>
                      <w:rFonts w:ascii="Times New Roman" w:eastAsia="Times New Roman" w:hAnsi="Times New Roman" w:cs="Times New Roman"/>
                      <w:b/>
                      <w:bCs/>
                      <w:color w:val="000000"/>
                      <w:sz w:val="24"/>
                      <w:szCs w:val="24"/>
                      <w:lang w:val="it-IT"/>
                    </w:rPr>
                  </w:pPr>
                  <w:r w:rsidRPr="00C56393">
                    <w:rPr>
                      <w:b/>
                      <w:bCs/>
                    </w:rPr>
                    <w:t xml:space="preserve">Da </w:t>
                  </w:r>
                </w:p>
              </w:tc>
              <w:tc>
                <w:tcPr>
                  <w:tcW w:w="567" w:type="dxa"/>
                  <w:shd w:val="clear" w:color="auto" w:fill="E7E6E6" w:themeFill="background2"/>
                </w:tcPr>
                <w:p w14:paraId="5815A925" w14:textId="24543C67" w:rsidR="00C56393" w:rsidRPr="00C56393" w:rsidRDefault="00C56393" w:rsidP="00C56393">
                  <w:pPr>
                    <w:rPr>
                      <w:rFonts w:ascii="Times New Roman" w:eastAsia="Times New Roman" w:hAnsi="Times New Roman" w:cs="Times New Roman"/>
                      <w:b/>
                      <w:bCs/>
                      <w:color w:val="000000"/>
                      <w:sz w:val="24"/>
                      <w:szCs w:val="24"/>
                      <w:lang w:val="it-IT"/>
                    </w:rPr>
                  </w:pPr>
                  <w:r w:rsidRPr="00C56393">
                    <w:rPr>
                      <w:b/>
                      <w:bCs/>
                    </w:rPr>
                    <w:t xml:space="preserve"> Nu</w:t>
                  </w:r>
                </w:p>
              </w:tc>
              <w:tc>
                <w:tcPr>
                  <w:tcW w:w="14812" w:type="dxa"/>
                  <w:shd w:val="clear" w:color="auto" w:fill="E7E6E6" w:themeFill="background2"/>
                </w:tcPr>
                <w:p w14:paraId="3F477102" w14:textId="77777777" w:rsidR="00C56393" w:rsidRPr="00C56393" w:rsidRDefault="00C56393" w:rsidP="00C56393">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Justificare în cazul selectării răspunsului „Nu”</w:t>
                  </w:r>
                </w:p>
                <w:p w14:paraId="5206D4FF" w14:textId="7804FF4E" w:rsidR="00C56393" w:rsidRPr="00C56393" w:rsidRDefault="00C56393" w:rsidP="00C56393">
                  <w:pPr>
                    <w:pStyle w:val="ListParagraph"/>
                    <w:rPr>
                      <w:rFonts w:ascii="Times New Roman" w:eastAsia="Times New Roman" w:hAnsi="Times New Roman" w:cs="Times New Roman"/>
                      <w:i/>
                      <w:iCs/>
                      <w:color w:val="000000"/>
                      <w:sz w:val="24"/>
                      <w:szCs w:val="24"/>
                      <w:lang w:val="it-IT"/>
                    </w:rPr>
                  </w:pPr>
                  <w:r w:rsidRPr="00C56393">
                    <w:rPr>
                      <w:rFonts w:ascii="Times New Roman" w:eastAsia="Times New Roman" w:hAnsi="Times New Roman" w:cs="Times New Roman"/>
                      <w:i/>
                      <w:iCs/>
                      <w:color w:val="5B9BD5" w:themeColor="accent1"/>
                      <w:sz w:val="24"/>
                      <w:szCs w:val="24"/>
                      <w:lang w:val="it-IT"/>
                    </w:rPr>
                    <w:t>- completare corespunzător proiectului -</w:t>
                  </w:r>
                </w:p>
              </w:tc>
            </w:tr>
            <w:tr w:rsidR="00C56393" w:rsidRPr="00CA7EE2" w14:paraId="6AD69F5D" w14:textId="77777777" w:rsidTr="00C56393">
              <w:tc>
                <w:tcPr>
                  <w:tcW w:w="5341" w:type="dxa"/>
                </w:tcPr>
                <w:p w14:paraId="2D8DADC5" w14:textId="0CE230D2"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Atenuarea schimbărilor climatice:</w:t>
                  </w:r>
                </w:p>
              </w:tc>
              <w:tc>
                <w:tcPr>
                  <w:tcW w:w="645" w:type="dxa"/>
                </w:tcPr>
                <w:p w14:paraId="2F503C01"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341AB93F" w14:textId="75E42850" w:rsidR="00C56393" w:rsidRDefault="00C56393" w:rsidP="008138C6">
                  <w:pPr>
                    <w:rPr>
                      <w:rFonts w:ascii="Times New Roman" w:eastAsia="Times New Roman" w:hAnsi="Times New Roman" w:cs="Times New Roman"/>
                      <w:b/>
                      <w:bCs/>
                      <w:color w:val="000000"/>
                      <w:sz w:val="24"/>
                      <w:szCs w:val="24"/>
                      <w:lang w:val="it-IT"/>
                    </w:rPr>
                  </w:pPr>
                  <w:r>
                    <w:rPr>
                      <w:rFonts w:ascii="Times New Roman" w:eastAsia="Times New Roman" w:hAnsi="Times New Roman" w:cs="Times New Roman"/>
                      <w:b/>
                      <w:bCs/>
                      <w:color w:val="000000"/>
                      <w:sz w:val="24"/>
                      <w:szCs w:val="24"/>
                      <w:lang w:val="it-IT"/>
                    </w:rPr>
                    <w:t>X</w:t>
                  </w:r>
                </w:p>
              </w:tc>
              <w:tc>
                <w:tcPr>
                  <w:tcW w:w="14812" w:type="dxa"/>
                </w:tcPr>
                <w:p w14:paraId="6342D648" w14:textId="5EAB66C9" w:rsidR="00C56393" w:rsidRPr="009C5BF9" w:rsidRDefault="00C56393" w:rsidP="00C56393">
                  <w:pPr>
                    <w:jc w:val="both"/>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Investiția propusă nu generează GES, fiind vorba de servicii de instruire, servicii de asistență și măsuri active de ocupare pentru persoanele direct afectate de procesul de tranziție prin pierderea locului de muncă sau indirect afectate de tranziție din cauza competențelor neadecvate sau insuficient adecvate cererii.</w:t>
                  </w:r>
                </w:p>
                <w:p w14:paraId="00417949" w14:textId="5DDE3AC0" w:rsidR="00C56393" w:rsidRPr="009C5BF9" w:rsidRDefault="00C56393" w:rsidP="00C56393">
                  <w:pPr>
                    <w:jc w:val="both"/>
                    <w:rPr>
                      <w:rFonts w:ascii="Times New Roman" w:eastAsia="Times New Roman" w:hAnsi="Times New Roman" w:cs="Times New Roman"/>
                      <w:b/>
                      <w:bCs/>
                      <w:i/>
                      <w:iCs/>
                      <w:color w:val="000000"/>
                      <w:sz w:val="24"/>
                      <w:szCs w:val="24"/>
                      <w:lang w:val="it-IT"/>
                    </w:rPr>
                  </w:pPr>
                  <w:r w:rsidRPr="009C5BF9">
                    <w:rPr>
                      <w:rFonts w:ascii="Times New Roman" w:eastAsia="Times New Roman" w:hAnsi="Times New Roman" w:cs="Times New Roman"/>
                      <w:i/>
                      <w:iCs/>
                      <w:color w:val="000000"/>
                      <w:sz w:val="24"/>
                      <w:szCs w:val="24"/>
                      <w:lang w:val="it-IT"/>
                    </w:rPr>
                    <w:t xml:space="preserve">Cu toate acestea, vor fi integrate inclusiv elemente de aplicabilitate a principiului DNSH </w:t>
                  </w:r>
                  <w:r w:rsidR="009C5BF9">
                    <w:rPr>
                      <w:rFonts w:ascii="Times New Roman" w:eastAsia="Times New Roman" w:hAnsi="Times New Roman" w:cs="Times New Roman"/>
                      <w:i/>
                      <w:iCs/>
                      <w:color w:val="000000"/>
                      <w:sz w:val="24"/>
                      <w:szCs w:val="24"/>
                      <w:lang w:val="it-IT"/>
                    </w:rPr>
                    <w:t>î</w:t>
                  </w:r>
                  <w:r w:rsidRPr="009C5BF9">
                    <w:rPr>
                      <w:rFonts w:ascii="Times New Roman" w:eastAsia="Times New Roman" w:hAnsi="Times New Roman" w:cs="Times New Roman"/>
                      <w:i/>
                      <w:iCs/>
                      <w:color w:val="000000"/>
                      <w:sz w:val="24"/>
                      <w:szCs w:val="24"/>
                      <w:lang w:val="it-IT"/>
                    </w:rPr>
                    <w:t>n cadrul procesului de recalificare și/sau actualizare de competen</w:t>
                  </w:r>
                  <w:r w:rsidR="009C5BF9">
                    <w:rPr>
                      <w:rFonts w:ascii="Times New Roman" w:eastAsia="Times New Roman" w:hAnsi="Times New Roman" w:cs="Times New Roman"/>
                      <w:i/>
                      <w:iCs/>
                      <w:color w:val="000000"/>
                      <w:sz w:val="24"/>
                      <w:szCs w:val="24"/>
                      <w:lang w:val="it-IT"/>
                    </w:rPr>
                    <w:t>ț</w:t>
                  </w:r>
                  <w:r w:rsidRPr="009C5BF9">
                    <w:rPr>
                      <w:rFonts w:ascii="Times New Roman" w:eastAsia="Times New Roman" w:hAnsi="Times New Roman" w:cs="Times New Roman"/>
                      <w:i/>
                      <w:iCs/>
                      <w:color w:val="000000"/>
                      <w:sz w:val="24"/>
                      <w:szCs w:val="24"/>
                      <w:lang w:val="it-IT"/>
                    </w:rPr>
                    <w:t>e pentru meseriile durabile respective.</w:t>
                  </w:r>
                </w:p>
              </w:tc>
            </w:tr>
            <w:tr w:rsidR="00C56393" w:rsidRPr="00CA7EE2" w14:paraId="21318B43" w14:textId="77777777" w:rsidTr="00C56393">
              <w:tc>
                <w:tcPr>
                  <w:tcW w:w="5341" w:type="dxa"/>
                </w:tcPr>
                <w:p w14:paraId="46AC9551" w14:textId="1F7B438B"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Adaptarea la schimbările climatice.</w:t>
                  </w:r>
                </w:p>
              </w:tc>
              <w:tc>
                <w:tcPr>
                  <w:tcW w:w="645" w:type="dxa"/>
                </w:tcPr>
                <w:p w14:paraId="65E92741"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3C93D8DB" w14:textId="56E26D6A"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X</w:t>
                  </w:r>
                </w:p>
              </w:tc>
              <w:tc>
                <w:tcPr>
                  <w:tcW w:w="14812" w:type="dxa"/>
                </w:tcPr>
                <w:p w14:paraId="0EF32726" w14:textId="31439E5D" w:rsidR="00C56393" w:rsidRPr="009C5BF9" w:rsidRDefault="00C56393" w:rsidP="00C56393">
                  <w:pPr>
                    <w:jc w:val="both"/>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 xml:space="preserve">Activitatea care beneficiază de sprijin în temeiul măsurii va genera un efect pozitiv teritoriilor afectate de procesul de tranziție la neutralitatea climatică, fiind integrate inclusiv elemente de aplicabilitate a principiului DNSH </w:t>
                  </w:r>
                  <w:r w:rsidR="009C5BF9">
                    <w:rPr>
                      <w:rFonts w:ascii="Times New Roman" w:eastAsia="Times New Roman" w:hAnsi="Times New Roman" w:cs="Times New Roman"/>
                      <w:i/>
                      <w:iCs/>
                      <w:color w:val="000000"/>
                      <w:sz w:val="24"/>
                      <w:szCs w:val="24"/>
                      <w:lang w:val="it-IT"/>
                    </w:rPr>
                    <w:t>î</w:t>
                  </w:r>
                  <w:r w:rsidRPr="009C5BF9">
                    <w:rPr>
                      <w:rFonts w:ascii="Times New Roman" w:eastAsia="Times New Roman" w:hAnsi="Times New Roman" w:cs="Times New Roman"/>
                      <w:i/>
                      <w:iCs/>
                      <w:color w:val="000000"/>
                      <w:sz w:val="24"/>
                      <w:szCs w:val="24"/>
                      <w:lang w:val="it-IT"/>
                    </w:rPr>
                    <w:t>n cadrul procesului de recalificare și/sau actualizare de competențe pentru meseriile durabile respective.</w:t>
                  </w:r>
                </w:p>
              </w:tc>
            </w:tr>
            <w:tr w:rsidR="00C56393" w:rsidRPr="00CA7EE2" w14:paraId="645FE4ED" w14:textId="77777777" w:rsidTr="00C56393">
              <w:tc>
                <w:tcPr>
                  <w:tcW w:w="5341" w:type="dxa"/>
                </w:tcPr>
                <w:p w14:paraId="04B8547F" w14:textId="4284BCA8"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Utilizarea durabilă și protejarea resurselor de apă și a celor marine</w:t>
                  </w:r>
                </w:p>
              </w:tc>
              <w:tc>
                <w:tcPr>
                  <w:tcW w:w="645" w:type="dxa"/>
                </w:tcPr>
                <w:p w14:paraId="2E8E46BB"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233C4F6C" w14:textId="7511792A"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X</w:t>
                  </w:r>
                </w:p>
              </w:tc>
              <w:tc>
                <w:tcPr>
                  <w:tcW w:w="14812" w:type="dxa"/>
                </w:tcPr>
                <w:p w14:paraId="5BBFB3C1" w14:textId="0CA921EA" w:rsidR="00C56393" w:rsidRPr="009C5BF9" w:rsidRDefault="00C56393" w:rsidP="00C56393">
                  <w:pPr>
                    <w:jc w:val="both"/>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Activitatea care beneficiază de sprijin în temeiul măsurii are un impact previzibil nesemnificativ asupra acestui obiectiv de mediu, ținând seama atât de efectele directe, cât și de cele primare indirecte. Nu sunt identificate riscuri de degradare a mediului legate de protejarea calității apei și de stresul hidric.</w:t>
                  </w:r>
                </w:p>
              </w:tc>
            </w:tr>
            <w:tr w:rsidR="00C56393" w:rsidRPr="00CA7EE2" w14:paraId="663B84F4" w14:textId="77777777" w:rsidTr="00C56393">
              <w:tc>
                <w:tcPr>
                  <w:tcW w:w="5341" w:type="dxa"/>
                </w:tcPr>
                <w:p w14:paraId="4DDE54ED" w14:textId="22583106"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Economia circulară, inclusiv prevenirea generării de deșeuri și reciclarea acestora</w:t>
                  </w:r>
                </w:p>
              </w:tc>
              <w:tc>
                <w:tcPr>
                  <w:tcW w:w="645" w:type="dxa"/>
                </w:tcPr>
                <w:p w14:paraId="656CF976"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20AB1D41" w14:textId="455BC593"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X</w:t>
                  </w:r>
                </w:p>
              </w:tc>
              <w:tc>
                <w:tcPr>
                  <w:tcW w:w="14812" w:type="dxa"/>
                </w:tcPr>
                <w:p w14:paraId="5F8E03FA" w14:textId="69927D5F" w:rsidR="00C56393" w:rsidRPr="009C5BF9" w:rsidRDefault="00C56393" w:rsidP="008138C6">
                  <w:pPr>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 xml:space="preserve">Activitatea care beneficiază de sprijin în temeiul măsurii are un impact previzibil nesemnificativ asupra acestui obiectiv de mediu, ținând seama atât de efectele directe, cât și de cele primare indirecte. Cu toate acestea, vor fi integrate inclusiv elemente de aplicabilitate a principiului DNSH </w:t>
                  </w:r>
                  <w:r w:rsidR="009C5BF9">
                    <w:rPr>
                      <w:rFonts w:ascii="Times New Roman" w:eastAsia="Times New Roman" w:hAnsi="Times New Roman" w:cs="Times New Roman"/>
                      <w:i/>
                      <w:iCs/>
                      <w:color w:val="000000"/>
                      <w:sz w:val="24"/>
                      <w:szCs w:val="24"/>
                      <w:lang w:val="it-IT"/>
                    </w:rPr>
                    <w:t>î</w:t>
                  </w:r>
                  <w:r w:rsidRPr="009C5BF9">
                    <w:rPr>
                      <w:rFonts w:ascii="Times New Roman" w:eastAsia="Times New Roman" w:hAnsi="Times New Roman" w:cs="Times New Roman"/>
                      <w:i/>
                      <w:iCs/>
                      <w:color w:val="000000"/>
                      <w:sz w:val="24"/>
                      <w:szCs w:val="24"/>
                      <w:lang w:val="it-IT"/>
                    </w:rPr>
                    <w:t>n cadrul procesului de recalificare și/sau actualizare de competențe pentru meseriile durabile respective.</w:t>
                  </w:r>
                </w:p>
              </w:tc>
            </w:tr>
            <w:tr w:rsidR="00C56393" w:rsidRPr="00CA7EE2" w14:paraId="148938E2" w14:textId="77777777" w:rsidTr="00C56393">
              <w:tc>
                <w:tcPr>
                  <w:tcW w:w="5341" w:type="dxa"/>
                </w:tcPr>
                <w:p w14:paraId="14687D81" w14:textId="599C514B"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Prevenirea și controlul poluării:</w:t>
                  </w:r>
                </w:p>
              </w:tc>
              <w:tc>
                <w:tcPr>
                  <w:tcW w:w="645" w:type="dxa"/>
                </w:tcPr>
                <w:p w14:paraId="07A370D1"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242BC92F" w14:textId="1218CFD9"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X</w:t>
                  </w:r>
                </w:p>
              </w:tc>
              <w:tc>
                <w:tcPr>
                  <w:tcW w:w="14812" w:type="dxa"/>
                </w:tcPr>
                <w:p w14:paraId="3ED1DFF3" w14:textId="62B5FE59" w:rsidR="00C56393" w:rsidRPr="009C5BF9" w:rsidRDefault="009C5BF9" w:rsidP="008138C6">
                  <w:pPr>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 xml:space="preserve">Activitatea care beneficiază de sprijin în temeiul măsurii are un impact previzibil nesemnificativ asupra acestui obiectiv de mediu, ținând seama atât de efectele directe, cât și de cele primare indirecte. Cu toate acestea, vor fi integrate inclusiv elemente de aplicabilitate a principiului DNSH </w:t>
                  </w:r>
                  <w:r>
                    <w:rPr>
                      <w:rFonts w:ascii="Times New Roman" w:eastAsia="Times New Roman" w:hAnsi="Times New Roman" w:cs="Times New Roman"/>
                      <w:i/>
                      <w:iCs/>
                      <w:color w:val="000000"/>
                      <w:sz w:val="24"/>
                      <w:szCs w:val="24"/>
                      <w:lang w:val="it-IT"/>
                    </w:rPr>
                    <w:t>î</w:t>
                  </w:r>
                  <w:r w:rsidRPr="009C5BF9">
                    <w:rPr>
                      <w:rFonts w:ascii="Times New Roman" w:eastAsia="Times New Roman" w:hAnsi="Times New Roman" w:cs="Times New Roman"/>
                      <w:i/>
                      <w:iCs/>
                      <w:color w:val="000000"/>
                      <w:sz w:val="24"/>
                      <w:szCs w:val="24"/>
                      <w:lang w:val="it-IT"/>
                    </w:rPr>
                    <w:t>n cadrul procesului de recalificare și/sau actualizare de competențe pentru meseriile durabile respective.</w:t>
                  </w:r>
                </w:p>
              </w:tc>
            </w:tr>
            <w:tr w:rsidR="00C56393" w:rsidRPr="00CA7EE2" w14:paraId="07D91631" w14:textId="77777777" w:rsidTr="00C56393">
              <w:tc>
                <w:tcPr>
                  <w:tcW w:w="5341" w:type="dxa"/>
                </w:tcPr>
                <w:p w14:paraId="62336519" w14:textId="57912278" w:rsidR="00C56393" w:rsidRP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Protecția și refacerea biodiversității și a ecosistemelor</w:t>
                  </w:r>
                </w:p>
              </w:tc>
              <w:tc>
                <w:tcPr>
                  <w:tcW w:w="645" w:type="dxa"/>
                </w:tcPr>
                <w:p w14:paraId="68BA5EF9" w14:textId="77777777" w:rsidR="00C56393" w:rsidRDefault="00C56393" w:rsidP="008138C6">
                  <w:pPr>
                    <w:rPr>
                      <w:rFonts w:ascii="Times New Roman" w:eastAsia="Times New Roman" w:hAnsi="Times New Roman" w:cs="Times New Roman"/>
                      <w:b/>
                      <w:bCs/>
                      <w:color w:val="000000"/>
                      <w:sz w:val="24"/>
                      <w:szCs w:val="24"/>
                      <w:lang w:val="it-IT"/>
                    </w:rPr>
                  </w:pPr>
                </w:p>
              </w:tc>
              <w:tc>
                <w:tcPr>
                  <w:tcW w:w="567" w:type="dxa"/>
                </w:tcPr>
                <w:p w14:paraId="50DA7011" w14:textId="179A9CD9" w:rsidR="00C56393" w:rsidRDefault="00C56393" w:rsidP="008138C6">
                  <w:pPr>
                    <w:rPr>
                      <w:rFonts w:ascii="Times New Roman" w:eastAsia="Times New Roman" w:hAnsi="Times New Roman" w:cs="Times New Roman"/>
                      <w:b/>
                      <w:bCs/>
                      <w:color w:val="000000"/>
                      <w:sz w:val="24"/>
                      <w:szCs w:val="24"/>
                      <w:lang w:val="it-IT"/>
                    </w:rPr>
                  </w:pPr>
                  <w:r w:rsidRPr="00C56393">
                    <w:rPr>
                      <w:rFonts w:ascii="Times New Roman" w:eastAsia="Times New Roman" w:hAnsi="Times New Roman" w:cs="Times New Roman"/>
                      <w:b/>
                      <w:bCs/>
                      <w:color w:val="000000"/>
                      <w:sz w:val="24"/>
                      <w:szCs w:val="24"/>
                      <w:lang w:val="it-IT"/>
                    </w:rPr>
                    <w:t>X</w:t>
                  </w:r>
                </w:p>
              </w:tc>
              <w:tc>
                <w:tcPr>
                  <w:tcW w:w="14812" w:type="dxa"/>
                </w:tcPr>
                <w:p w14:paraId="670A0E72" w14:textId="5889FEDA" w:rsidR="00C56393" w:rsidRPr="009C5BF9" w:rsidRDefault="009C5BF9" w:rsidP="008138C6">
                  <w:pPr>
                    <w:rPr>
                      <w:rFonts w:ascii="Times New Roman" w:eastAsia="Times New Roman" w:hAnsi="Times New Roman" w:cs="Times New Roman"/>
                      <w:i/>
                      <w:iCs/>
                      <w:color w:val="000000"/>
                      <w:sz w:val="24"/>
                      <w:szCs w:val="24"/>
                      <w:lang w:val="it-IT"/>
                    </w:rPr>
                  </w:pPr>
                  <w:r w:rsidRPr="009C5BF9">
                    <w:rPr>
                      <w:rFonts w:ascii="Times New Roman" w:eastAsia="Times New Roman" w:hAnsi="Times New Roman" w:cs="Times New Roman"/>
                      <w:i/>
                      <w:iCs/>
                      <w:color w:val="000000"/>
                      <w:sz w:val="24"/>
                      <w:szCs w:val="24"/>
                      <w:lang w:val="it-IT"/>
                    </w:rPr>
                    <w:t>Activitatea care beneficiază de sprijin în temeiul măsurii are un impact previzibil nesemnificativ asupra acestui obiectiv de mediu, ținând seama atât de efectele directe, cât și de cele primare indirecte.</w:t>
                  </w:r>
                </w:p>
              </w:tc>
            </w:tr>
          </w:tbl>
          <w:p w14:paraId="02CEBBA2" w14:textId="2F151382"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p>
          <w:p w14:paraId="45F99EE1" w14:textId="03843AC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tc>
      </w:tr>
      <w:tr w:rsidR="00DA61D5" w:rsidRPr="00CA7EE2" w14:paraId="08EFFF8D" w14:textId="77777777" w:rsidTr="008138C6">
        <w:trPr>
          <w:trHeight w:val="503"/>
        </w:trPr>
        <w:tc>
          <w:tcPr>
            <w:tcW w:w="21591" w:type="dxa"/>
            <w:gridSpan w:val="2"/>
            <w:tcBorders>
              <w:top w:val="single" w:sz="4" w:space="0" w:color="auto"/>
              <w:left w:val="nil"/>
              <w:bottom w:val="nil"/>
              <w:right w:val="nil"/>
            </w:tcBorders>
            <w:vAlign w:val="center"/>
            <w:hideMark/>
          </w:tcPr>
          <w:p w14:paraId="157D2D0A" w14:textId="77777777" w:rsidR="008138C6" w:rsidRPr="00B30C20" w:rsidRDefault="008138C6" w:rsidP="008138C6">
            <w:pPr>
              <w:spacing w:after="0" w:line="240" w:lineRule="auto"/>
              <w:jc w:val="both"/>
              <w:rPr>
                <w:rFonts w:ascii="Times New Roman" w:eastAsia="Times New Roman" w:hAnsi="Times New Roman" w:cs="Times New Roman"/>
                <w:color w:val="000000"/>
                <w:sz w:val="24"/>
                <w:szCs w:val="24"/>
                <w:lang w:val="it-IT"/>
              </w:rPr>
            </w:pPr>
          </w:p>
          <w:p w14:paraId="6915EB47" w14:textId="77777777" w:rsidR="008138C6" w:rsidRPr="00B30C20" w:rsidRDefault="008138C6" w:rsidP="009C5BF9">
            <w:pPr>
              <w:spacing w:after="0" w:line="240" w:lineRule="auto"/>
              <w:jc w:val="both"/>
              <w:rPr>
                <w:rFonts w:ascii="Times New Roman" w:eastAsia="Times New Roman" w:hAnsi="Times New Roman" w:cs="Times New Roman"/>
                <w:color w:val="000000"/>
                <w:sz w:val="16"/>
                <w:szCs w:val="16"/>
                <w:lang w:val="it-IT"/>
              </w:rPr>
            </w:pPr>
          </w:p>
        </w:tc>
      </w:tr>
      <w:tr w:rsidR="00DA61D5" w:rsidRPr="00CA7EE2" w14:paraId="253F0139" w14:textId="77777777" w:rsidTr="008138C6">
        <w:trPr>
          <w:trHeight w:val="3405"/>
        </w:trPr>
        <w:tc>
          <w:tcPr>
            <w:tcW w:w="21591" w:type="dxa"/>
            <w:gridSpan w:val="2"/>
            <w:tcBorders>
              <w:top w:val="nil"/>
              <w:left w:val="nil"/>
              <w:bottom w:val="nil"/>
              <w:right w:val="nil"/>
            </w:tcBorders>
            <w:hideMark/>
          </w:tcPr>
          <w:p w14:paraId="7A2B8841" w14:textId="0D7C9026"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lastRenderedPageBreak/>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7777777" w:rsidR="00DA61D5"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p w14:paraId="26364749" w14:textId="77777777" w:rsidR="009C5BF9" w:rsidRDefault="009C5BF9" w:rsidP="008138C6">
            <w:pPr>
              <w:spacing w:after="0" w:line="240" w:lineRule="auto"/>
              <w:ind w:left="345"/>
              <w:jc w:val="both"/>
              <w:rPr>
                <w:rFonts w:ascii="Times New Roman" w:eastAsia="Times New Roman" w:hAnsi="Times New Roman" w:cs="Times New Roman"/>
                <w:color w:val="000000"/>
                <w:sz w:val="24"/>
                <w:szCs w:val="24"/>
                <w:lang w:val="it-IT"/>
              </w:rPr>
            </w:pPr>
          </w:p>
          <w:p w14:paraId="0229311F" w14:textId="77777777" w:rsidR="009C5BF9" w:rsidRPr="00B30C20" w:rsidRDefault="009C5BF9" w:rsidP="008138C6">
            <w:pPr>
              <w:spacing w:after="0" w:line="240" w:lineRule="auto"/>
              <w:ind w:left="345"/>
              <w:jc w:val="both"/>
              <w:rPr>
                <w:rFonts w:ascii="Times New Roman" w:eastAsia="Times New Roman" w:hAnsi="Times New Roman" w:cs="Times New Roman"/>
                <w:color w:val="000000"/>
                <w:sz w:val="24"/>
                <w:szCs w:val="24"/>
                <w:lang w:val="it-IT"/>
              </w:rPr>
            </w:pPr>
          </w:p>
          <w:p w14:paraId="19FD4326"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2405B623"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0A29327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69809E5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06487862"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tc>
      </w:tr>
    </w:tbl>
    <w:p w14:paraId="7D1EB554" w14:textId="77777777" w:rsidR="00AE0342" w:rsidRPr="00B30C20" w:rsidRDefault="00AE0342" w:rsidP="008138C6">
      <w:pPr>
        <w:spacing w:after="0" w:line="240" w:lineRule="auto"/>
        <w:rPr>
          <w:rFonts w:ascii="Times New Roman" w:eastAsia="Times New Roman" w:hAnsi="Times New Roman" w:cs="Times New Roman"/>
          <w:color w:val="000000"/>
          <w:sz w:val="24"/>
          <w:szCs w:val="24"/>
          <w:lang w:val="it-IT"/>
        </w:rPr>
      </w:pPr>
    </w:p>
    <w:sectPr w:rsidR="00AE0342" w:rsidRPr="00B30C20" w:rsidSect="00C56393">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A0936" w14:textId="77777777" w:rsidR="00383621" w:rsidRDefault="00383621" w:rsidP="00524E20">
      <w:pPr>
        <w:spacing w:after="0" w:line="240" w:lineRule="auto"/>
      </w:pPr>
      <w:r>
        <w:separator/>
      </w:r>
    </w:p>
  </w:endnote>
  <w:endnote w:type="continuationSeparator" w:id="0">
    <w:p w14:paraId="1B75800D" w14:textId="77777777" w:rsidR="00383621" w:rsidRDefault="00383621"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511D" w14:textId="77777777" w:rsidR="009062CE" w:rsidRDefault="0090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0D28" w14:textId="77777777" w:rsidR="009062CE" w:rsidRDefault="00906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66B6" w14:textId="77777777" w:rsidR="009062CE" w:rsidRDefault="0090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EA8BC" w14:textId="77777777" w:rsidR="00383621" w:rsidRDefault="00383621" w:rsidP="00524E20">
      <w:pPr>
        <w:spacing w:after="0" w:line="240" w:lineRule="auto"/>
      </w:pPr>
      <w:r>
        <w:separator/>
      </w:r>
    </w:p>
  </w:footnote>
  <w:footnote w:type="continuationSeparator" w:id="0">
    <w:p w14:paraId="163F85B0" w14:textId="77777777" w:rsidR="00383621" w:rsidRDefault="00383621"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D3AB" w14:textId="77777777" w:rsidR="009062CE" w:rsidRDefault="0090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2E86082" w:rsidR="00561147" w:rsidRPr="00EC0CC4" w:rsidRDefault="009062CE" w:rsidP="009062CE">
          <w:pPr>
            <w:pStyle w:val="Header"/>
            <w:spacing w:line="276" w:lineRule="auto"/>
            <w:jc w:val="center"/>
            <w:rPr>
              <w:rFonts w:ascii="Times New Roman" w:hAnsi="Times New Roman"/>
              <w:b/>
              <w:lang w:val="en-US"/>
            </w:rPr>
          </w:pPr>
          <w:r w:rsidRPr="009062CE">
            <w:rPr>
              <w:rFonts w:ascii="Calibri" w:eastAsia="Calibri" w:hAnsi="Calibri" w:cs="Calibri"/>
              <w:noProof/>
            </w:rPr>
            <w:drawing>
              <wp:inline distT="0" distB="0" distL="0" distR="0" wp14:anchorId="57CB5403" wp14:editId="2E62C9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5B9BD5" w:themeColor="accent1"/>
          </w:tcBorders>
        </w:tcPr>
        <w:p w14:paraId="3862B782" w14:textId="468A4206" w:rsidR="00561147" w:rsidRPr="00EC0CC4" w:rsidRDefault="00561147" w:rsidP="00561147">
          <w:pPr>
            <w:pStyle w:val="Header"/>
            <w:spacing w:line="276" w:lineRule="auto"/>
            <w:rPr>
              <w:rFonts w:ascii="Times New Roman" w:hAnsi="Times New Roman"/>
              <w:b/>
              <w:color w:val="5B9BD5" w:themeColor="accent1"/>
            </w:rPr>
          </w:pPr>
        </w:p>
      </w:tc>
    </w:tr>
  </w:tbl>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F252" w14:textId="77777777" w:rsidR="009062CE" w:rsidRDefault="0090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67315"/>
    <w:multiLevelType w:val="hybridMultilevel"/>
    <w:tmpl w:val="1DA0C7AA"/>
    <w:lvl w:ilvl="0" w:tplc="EB441F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7F304C"/>
    <w:multiLevelType w:val="hybridMultilevel"/>
    <w:tmpl w:val="2FD45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1"/>
  </w:num>
  <w:num w:numId="2" w16cid:durableId="609896242">
    <w:abstractNumId w:val="3"/>
  </w:num>
  <w:num w:numId="3" w16cid:durableId="186450614">
    <w:abstractNumId w:val="2"/>
  </w:num>
  <w:num w:numId="4" w16cid:durableId="1444956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2132D3"/>
    <w:rsid w:val="00383621"/>
    <w:rsid w:val="003B1299"/>
    <w:rsid w:val="003C2652"/>
    <w:rsid w:val="003D6596"/>
    <w:rsid w:val="00420304"/>
    <w:rsid w:val="00524E20"/>
    <w:rsid w:val="00561147"/>
    <w:rsid w:val="00626A1E"/>
    <w:rsid w:val="006A1EDE"/>
    <w:rsid w:val="006B36B0"/>
    <w:rsid w:val="006E08AB"/>
    <w:rsid w:val="007E14DD"/>
    <w:rsid w:val="008138C6"/>
    <w:rsid w:val="00832ACC"/>
    <w:rsid w:val="008E6AFD"/>
    <w:rsid w:val="008F149F"/>
    <w:rsid w:val="0090152A"/>
    <w:rsid w:val="009062CE"/>
    <w:rsid w:val="00981583"/>
    <w:rsid w:val="00994DFE"/>
    <w:rsid w:val="009C5BF9"/>
    <w:rsid w:val="00A42401"/>
    <w:rsid w:val="00A46787"/>
    <w:rsid w:val="00A808D1"/>
    <w:rsid w:val="00AE0342"/>
    <w:rsid w:val="00B27726"/>
    <w:rsid w:val="00B30C20"/>
    <w:rsid w:val="00B51686"/>
    <w:rsid w:val="00BF5B36"/>
    <w:rsid w:val="00C03062"/>
    <w:rsid w:val="00C05A6B"/>
    <w:rsid w:val="00C56393"/>
    <w:rsid w:val="00CA7EE2"/>
    <w:rsid w:val="00CB16E8"/>
    <w:rsid w:val="00D306F4"/>
    <w:rsid w:val="00D869EC"/>
    <w:rsid w:val="00D96A90"/>
    <w:rsid w:val="00DA039B"/>
    <w:rsid w:val="00DA61D5"/>
    <w:rsid w:val="00DB66F0"/>
    <w:rsid w:val="00E61A29"/>
    <w:rsid w:val="00EC0CC4"/>
    <w:rsid w:val="00F31D4B"/>
    <w:rsid w:val="00F41EE4"/>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CA7EE2"/>
    <w:pPr>
      <w:spacing w:after="0" w:line="240" w:lineRule="auto"/>
    </w:pPr>
  </w:style>
  <w:style w:type="character" w:styleId="CommentReference">
    <w:name w:val="annotation reference"/>
    <w:basedOn w:val="DefaultParagraphFont"/>
    <w:uiPriority w:val="99"/>
    <w:semiHidden/>
    <w:unhideWhenUsed/>
    <w:rsid w:val="00CA7EE2"/>
    <w:rPr>
      <w:sz w:val="16"/>
      <w:szCs w:val="16"/>
    </w:rPr>
  </w:style>
  <w:style w:type="paragraph" w:styleId="CommentText">
    <w:name w:val="annotation text"/>
    <w:basedOn w:val="Normal"/>
    <w:link w:val="CommentTextChar"/>
    <w:uiPriority w:val="99"/>
    <w:unhideWhenUsed/>
    <w:rsid w:val="00CA7EE2"/>
    <w:pPr>
      <w:spacing w:line="240" w:lineRule="auto"/>
    </w:pPr>
    <w:rPr>
      <w:sz w:val="20"/>
      <w:szCs w:val="20"/>
    </w:rPr>
  </w:style>
  <w:style w:type="character" w:customStyle="1" w:styleId="CommentTextChar">
    <w:name w:val="Comment Text Char"/>
    <w:basedOn w:val="DefaultParagraphFont"/>
    <w:link w:val="CommentText"/>
    <w:uiPriority w:val="99"/>
    <w:rsid w:val="00CA7EE2"/>
    <w:rPr>
      <w:sz w:val="20"/>
      <w:szCs w:val="20"/>
    </w:rPr>
  </w:style>
  <w:style w:type="paragraph" w:styleId="CommentSubject">
    <w:name w:val="annotation subject"/>
    <w:basedOn w:val="CommentText"/>
    <w:next w:val="CommentText"/>
    <w:link w:val="CommentSubjectChar"/>
    <w:uiPriority w:val="99"/>
    <w:semiHidden/>
    <w:unhideWhenUsed/>
    <w:rsid w:val="00CA7EE2"/>
    <w:rPr>
      <w:b/>
      <w:bCs/>
    </w:rPr>
  </w:style>
  <w:style w:type="character" w:customStyle="1" w:styleId="CommentSubjectChar">
    <w:name w:val="Comment Subject Char"/>
    <w:basedOn w:val="CommentTextChar"/>
    <w:link w:val="CommentSubject"/>
    <w:uiPriority w:val="99"/>
    <w:semiHidden/>
    <w:rsid w:val="00CA7E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16</cp:revision>
  <cp:lastPrinted>2025-12-15T08:10:00Z</cp:lastPrinted>
  <dcterms:created xsi:type="dcterms:W3CDTF">2023-08-06T19:12:00Z</dcterms:created>
  <dcterms:modified xsi:type="dcterms:W3CDTF">2025-12-23T08:17:00Z</dcterms:modified>
</cp:coreProperties>
</file>